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B0A9" w14:textId="77777777" w:rsidR="000341AC" w:rsidRDefault="00A80D36" w:rsidP="00672276">
      <w:pPr>
        <w:jc w:val="center"/>
        <w:rPr>
          <w:b/>
        </w:rPr>
      </w:pPr>
      <w:r>
        <w:rPr>
          <w:b/>
        </w:rPr>
        <w:t>FINANCIACION BÁSICA 2021</w:t>
      </w:r>
    </w:p>
    <w:p w14:paraId="05D40855" w14:textId="77777777" w:rsidR="006C48D7" w:rsidRDefault="006C48D7" w:rsidP="006C48D7"/>
    <w:p w14:paraId="32505C8D" w14:textId="77777777"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14:paraId="4FFB657D" w14:textId="77777777" w:rsidR="006C48D7" w:rsidRDefault="006C48D7" w:rsidP="006C48D7">
      <w:pPr>
        <w:ind w:firstLine="708"/>
      </w:pPr>
    </w:p>
    <w:p w14:paraId="7A714532" w14:textId="77777777"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14:paraId="667898BB" w14:textId="77777777" w:rsidR="006C48D7" w:rsidRDefault="006C48D7" w:rsidP="006C48D7">
      <w:pPr>
        <w:pStyle w:val="Prrafodelista"/>
        <w:rPr>
          <w:lang w:val="es-ES_tradnl" w:eastAsia="es-ES_tradnl"/>
        </w:rPr>
      </w:pPr>
    </w:p>
    <w:p w14:paraId="3B882AA8" w14:textId="77777777"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14:paraId="71D93802" w14:textId="77777777" w:rsidR="006C48D7" w:rsidRDefault="006C48D7" w:rsidP="006C48D7">
      <w:pPr>
        <w:pStyle w:val="Prrafodelista"/>
        <w:ind w:left="1068"/>
      </w:pPr>
    </w:p>
    <w:p w14:paraId="3546A1C8" w14:textId="77777777"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14:paraId="71B955A3"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14:paraId="6E174234"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14:paraId="0D53A5A0" w14:textId="77777777" w:rsidR="006C48D7"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14:paraId="5D05B1C8"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14:paraId="3E822A83" w14:textId="77777777" w:rsidR="006C48D7" w:rsidRDefault="006C48D7" w:rsidP="006C48D7">
      <w:pPr>
        <w:pStyle w:val="Prrafodelista"/>
        <w:numPr>
          <w:ilvl w:val="0"/>
          <w:numId w:val="9"/>
        </w:numPr>
        <w:rPr>
          <w:spacing w:val="-9"/>
          <w:lang w:val="es-ES_tradnl" w:eastAsia="es-ES_tradnl"/>
        </w:rPr>
      </w:pPr>
      <w:r>
        <w:rPr>
          <w:lang w:val="es-ES_tradnl" w:eastAsia="es-ES_tradnl"/>
        </w:rPr>
        <w:t>Ayuntamientos de menos de 20.000 habitantes, un 6%</w:t>
      </w:r>
    </w:p>
    <w:p w14:paraId="22A5A9CD" w14:textId="77777777" w:rsidR="006C48D7" w:rsidRDefault="006C48D7" w:rsidP="006C48D7">
      <w:pPr>
        <w:rPr>
          <w:spacing w:val="-9"/>
          <w:lang w:val="es-ES_tradnl" w:eastAsia="es-ES_tradnl"/>
        </w:rPr>
      </w:pPr>
    </w:p>
    <w:p w14:paraId="486FD884" w14:textId="77777777"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14:paraId="05D21EE4" w14:textId="77777777" w:rsidR="006C48D7" w:rsidRDefault="006C48D7" w:rsidP="006C48D7">
      <w:pPr>
        <w:ind w:firstLine="708"/>
      </w:pPr>
    </w:p>
    <w:p w14:paraId="68F7C99F" w14:textId="77777777"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14:paraId="04FECCD4" w14:textId="77777777"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14:paraId="3E04A25B"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14:paraId="52D53F85"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14:paraId="59F2AF93"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14:paraId="4E468793" w14:textId="77777777" w:rsidR="006C48D7" w:rsidRDefault="006C48D7" w:rsidP="006C48D7"/>
    <w:p w14:paraId="02CBDED5" w14:textId="77777777" w:rsidR="006C48D7" w:rsidRDefault="006C48D7" w:rsidP="006C48D7">
      <w:pPr>
        <w:ind w:firstLine="708"/>
      </w:pPr>
      <w:r>
        <w:t>A continuación se detalla los ingresos obtenidos en el ejercicio, desglosados según su naturaleza y con expresión de su participación porcentual en el total de recursos generados.</w:t>
      </w:r>
    </w:p>
    <w:p w14:paraId="62304F58" w14:textId="77777777" w:rsidR="00C76CC6" w:rsidRDefault="00C76CC6" w:rsidP="006C48D7">
      <w:pPr>
        <w:ind w:firstLine="708"/>
      </w:pP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598"/>
        <w:gridCol w:w="1164"/>
        <w:gridCol w:w="1345"/>
        <w:gridCol w:w="1134"/>
        <w:gridCol w:w="1276"/>
        <w:gridCol w:w="1276"/>
      </w:tblGrid>
      <w:tr w:rsidR="00795BC7" w:rsidRPr="00795BC7" w14:paraId="4B345ECA" w14:textId="77777777" w:rsidTr="00795BC7">
        <w:trPr>
          <w:trHeight w:val="555"/>
        </w:trPr>
        <w:tc>
          <w:tcPr>
            <w:tcW w:w="1128" w:type="dxa"/>
            <w:shd w:val="clear" w:color="000000" w:fill="FF8080"/>
            <w:vAlign w:val="center"/>
            <w:hideMark/>
          </w:tcPr>
          <w:p w14:paraId="3A8268B5"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Clasificación CAPITULO</w:t>
            </w:r>
          </w:p>
        </w:tc>
        <w:tc>
          <w:tcPr>
            <w:tcW w:w="1598" w:type="dxa"/>
            <w:shd w:val="clear" w:color="000000" w:fill="FF8080"/>
            <w:vAlign w:val="center"/>
            <w:hideMark/>
          </w:tcPr>
          <w:p w14:paraId="37F7B934"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DENOMINACIÓN DE LOS CAPÍTULOS</w:t>
            </w:r>
          </w:p>
        </w:tc>
        <w:tc>
          <w:tcPr>
            <w:tcW w:w="1164" w:type="dxa"/>
            <w:shd w:val="clear" w:color="000000" w:fill="FF8080"/>
            <w:vAlign w:val="center"/>
            <w:hideMark/>
          </w:tcPr>
          <w:p w14:paraId="3588C460"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Presupuesto Definitivo</w:t>
            </w:r>
          </w:p>
        </w:tc>
        <w:tc>
          <w:tcPr>
            <w:tcW w:w="1345" w:type="dxa"/>
            <w:shd w:val="clear" w:color="000000" w:fill="FF8080"/>
            <w:vAlign w:val="center"/>
            <w:hideMark/>
          </w:tcPr>
          <w:p w14:paraId="5AE27176"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Derechos Reconocidos</w:t>
            </w:r>
          </w:p>
        </w:tc>
        <w:tc>
          <w:tcPr>
            <w:tcW w:w="1134" w:type="dxa"/>
            <w:shd w:val="clear" w:color="000000" w:fill="FF8080"/>
            <w:vAlign w:val="center"/>
            <w:hideMark/>
          </w:tcPr>
          <w:p w14:paraId="3C27ACDC"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Reconocido / Definitivo</w:t>
            </w:r>
          </w:p>
        </w:tc>
        <w:tc>
          <w:tcPr>
            <w:tcW w:w="1276" w:type="dxa"/>
            <w:shd w:val="clear" w:color="000000" w:fill="FF8080"/>
            <w:vAlign w:val="center"/>
            <w:hideMark/>
          </w:tcPr>
          <w:p w14:paraId="591F4A76"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Recaudación Líquida</w:t>
            </w:r>
          </w:p>
        </w:tc>
        <w:tc>
          <w:tcPr>
            <w:tcW w:w="1276" w:type="dxa"/>
            <w:shd w:val="clear" w:color="000000" w:fill="FF8080"/>
            <w:vAlign w:val="center"/>
            <w:hideMark/>
          </w:tcPr>
          <w:p w14:paraId="20788934"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Recaudación / Reconocidos</w:t>
            </w:r>
          </w:p>
        </w:tc>
      </w:tr>
      <w:tr w:rsidR="00795BC7" w:rsidRPr="00795BC7" w14:paraId="753EFC8B" w14:textId="77777777" w:rsidTr="00795BC7">
        <w:trPr>
          <w:trHeight w:val="628"/>
        </w:trPr>
        <w:tc>
          <w:tcPr>
            <w:tcW w:w="1128" w:type="dxa"/>
            <w:shd w:val="clear" w:color="auto" w:fill="auto"/>
            <w:noWrap/>
            <w:vAlign w:val="center"/>
            <w:hideMark/>
          </w:tcPr>
          <w:p w14:paraId="33254F7D"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3</w:t>
            </w:r>
          </w:p>
        </w:tc>
        <w:tc>
          <w:tcPr>
            <w:tcW w:w="1598" w:type="dxa"/>
            <w:shd w:val="clear" w:color="auto" w:fill="auto"/>
            <w:vAlign w:val="center"/>
            <w:hideMark/>
          </w:tcPr>
          <w:p w14:paraId="39673BA9"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TASAS, PRECIOS PÚBLICOS Y OTROS INGRESOS</w:t>
            </w:r>
          </w:p>
        </w:tc>
        <w:tc>
          <w:tcPr>
            <w:tcW w:w="1164" w:type="dxa"/>
            <w:shd w:val="clear" w:color="auto" w:fill="auto"/>
            <w:noWrap/>
            <w:vAlign w:val="center"/>
            <w:hideMark/>
          </w:tcPr>
          <w:p w14:paraId="4868A6A6"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2.530.000,00</w:t>
            </w:r>
          </w:p>
        </w:tc>
        <w:tc>
          <w:tcPr>
            <w:tcW w:w="1345" w:type="dxa"/>
            <w:shd w:val="clear" w:color="auto" w:fill="auto"/>
            <w:noWrap/>
            <w:vAlign w:val="center"/>
            <w:hideMark/>
          </w:tcPr>
          <w:p w14:paraId="71CE097D"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2.540.786,54</w:t>
            </w:r>
          </w:p>
        </w:tc>
        <w:tc>
          <w:tcPr>
            <w:tcW w:w="1134" w:type="dxa"/>
            <w:shd w:val="clear" w:color="auto" w:fill="auto"/>
            <w:noWrap/>
            <w:vAlign w:val="center"/>
            <w:hideMark/>
          </w:tcPr>
          <w:p w14:paraId="084F02CA"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100,43%</w:t>
            </w:r>
          </w:p>
        </w:tc>
        <w:tc>
          <w:tcPr>
            <w:tcW w:w="1276" w:type="dxa"/>
            <w:shd w:val="clear" w:color="auto" w:fill="auto"/>
            <w:noWrap/>
            <w:vAlign w:val="center"/>
            <w:hideMark/>
          </w:tcPr>
          <w:p w14:paraId="5A2AB4F5"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2.496.567,53</w:t>
            </w:r>
          </w:p>
        </w:tc>
        <w:tc>
          <w:tcPr>
            <w:tcW w:w="1276" w:type="dxa"/>
            <w:shd w:val="clear" w:color="auto" w:fill="auto"/>
            <w:noWrap/>
            <w:vAlign w:val="center"/>
            <w:hideMark/>
          </w:tcPr>
          <w:p w14:paraId="336CEFF9"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98,26%</w:t>
            </w:r>
          </w:p>
        </w:tc>
      </w:tr>
      <w:tr w:rsidR="00795BC7" w:rsidRPr="00795BC7" w14:paraId="202B373F" w14:textId="77777777" w:rsidTr="00795BC7">
        <w:trPr>
          <w:trHeight w:val="383"/>
        </w:trPr>
        <w:tc>
          <w:tcPr>
            <w:tcW w:w="1128" w:type="dxa"/>
            <w:shd w:val="clear" w:color="auto" w:fill="auto"/>
            <w:noWrap/>
            <w:vAlign w:val="center"/>
            <w:hideMark/>
          </w:tcPr>
          <w:p w14:paraId="0C6B5F94"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4</w:t>
            </w:r>
          </w:p>
        </w:tc>
        <w:tc>
          <w:tcPr>
            <w:tcW w:w="1598" w:type="dxa"/>
            <w:shd w:val="clear" w:color="auto" w:fill="auto"/>
            <w:vAlign w:val="center"/>
            <w:hideMark/>
          </w:tcPr>
          <w:p w14:paraId="0E3E66A4"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TRANSFERENCIAS CORRIENTES</w:t>
            </w:r>
          </w:p>
        </w:tc>
        <w:tc>
          <w:tcPr>
            <w:tcW w:w="1164" w:type="dxa"/>
            <w:shd w:val="clear" w:color="auto" w:fill="auto"/>
            <w:noWrap/>
            <w:vAlign w:val="center"/>
            <w:hideMark/>
          </w:tcPr>
          <w:p w14:paraId="0AF46C0F"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17.289.026,64</w:t>
            </w:r>
          </w:p>
        </w:tc>
        <w:tc>
          <w:tcPr>
            <w:tcW w:w="1345" w:type="dxa"/>
            <w:shd w:val="clear" w:color="auto" w:fill="auto"/>
            <w:noWrap/>
            <w:vAlign w:val="center"/>
            <w:hideMark/>
          </w:tcPr>
          <w:p w14:paraId="5DE2440E"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17.289.026,65</w:t>
            </w:r>
          </w:p>
        </w:tc>
        <w:tc>
          <w:tcPr>
            <w:tcW w:w="1134" w:type="dxa"/>
            <w:shd w:val="clear" w:color="auto" w:fill="auto"/>
            <w:noWrap/>
            <w:vAlign w:val="center"/>
            <w:hideMark/>
          </w:tcPr>
          <w:p w14:paraId="4C59A74D"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100,00%</w:t>
            </w:r>
          </w:p>
        </w:tc>
        <w:tc>
          <w:tcPr>
            <w:tcW w:w="1276" w:type="dxa"/>
            <w:shd w:val="clear" w:color="auto" w:fill="auto"/>
            <w:noWrap/>
            <w:vAlign w:val="center"/>
            <w:hideMark/>
          </w:tcPr>
          <w:p w14:paraId="26740320"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16.784.641,90</w:t>
            </w:r>
          </w:p>
        </w:tc>
        <w:tc>
          <w:tcPr>
            <w:tcW w:w="1276" w:type="dxa"/>
            <w:shd w:val="clear" w:color="auto" w:fill="auto"/>
            <w:noWrap/>
            <w:vAlign w:val="center"/>
            <w:hideMark/>
          </w:tcPr>
          <w:p w14:paraId="4BA8A769"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97,08%</w:t>
            </w:r>
          </w:p>
        </w:tc>
      </w:tr>
      <w:tr w:rsidR="00795BC7" w:rsidRPr="00795BC7" w14:paraId="75109021" w14:textId="77777777" w:rsidTr="00795BC7">
        <w:trPr>
          <w:trHeight w:val="275"/>
        </w:trPr>
        <w:tc>
          <w:tcPr>
            <w:tcW w:w="1128" w:type="dxa"/>
            <w:shd w:val="clear" w:color="auto" w:fill="auto"/>
            <w:noWrap/>
            <w:vAlign w:val="center"/>
            <w:hideMark/>
          </w:tcPr>
          <w:p w14:paraId="34F32608"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5</w:t>
            </w:r>
          </w:p>
        </w:tc>
        <w:tc>
          <w:tcPr>
            <w:tcW w:w="1598" w:type="dxa"/>
            <w:shd w:val="clear" w:color="auto" w:fill="auto"/>
            <w:vAlign w:val="center"/>
            <w:hideMark/>
          </w:tcPr>
          <w:p w14:paraId="6F06D8F2"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INGRESOS PATRIMONIALES</w:t>
            </w:r>
          </w:p>
        </w:tc>
        <w:tc>
          <w:tcPr>
            <w:tcW w:w="1164" w:type="dxa"/>
            <w:shd w:val="clear" w:color="auto" w:fill="auto"/>
            <w:noWrap/>
            <w:vAlign w:val="center"/>
            <w:hideMark/>
          </w:tcPr>
          <w:p w14:paraId="74BDA629"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0,00</w:t>
            </w:r>
          </w:p>
        </w:tc>
        <w:tc>
          <w:tcPr>
            <w:tcW w:w="1345" w:type="dxa"/>
            <w:shd w:val="clear" w:color="auto" w:fill="auto"/>
            <w:noWrap/>
            <w:vAlign w:val="center"/>
            <w:hideMark/>
          </w:tcPr>
          <w:p w14:paraId="2A9C629D"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0,00</w:t>
            </w:r>
          </w:p>
        </w:tc>
        <w:tc>
          <w:tcPr>
            <w:tcW w:w="1134" w:type="dxa"/>
            <w:shd w:val="clear" w:color="auto" w:fill="auto"/>
            <w:noWrap/>
            <w:vAlign w:val="center"/>
            <w:hideMark/>
          </w:tcPr>
          <w:p w14:paraId="4C7FF448"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w:t>
            </w:r>
          </w:p>
        </w:tc>
        <w:tc>
          <w:tcPr>
            <w:tcW w:w="1276" w:type="dxa"/>
            <w:shd w:val="clear" w:color="auto" w:fill="auto"/>
            <w:noWrap/>
            <w:vAlign w:val="center"/>
            <w:hideMark/>
          </w:tcPr>
          <w:p w14:paraId="63CB406D"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0,00</w:t>
            </w:r>
          </w:p>
        </w:tc>
        <w:tc>
          <w:tcPr>
            <w:tcW w:w="1276" w:type="dxa"/>
            <w:shd w:val="clear" w:color="auto" w:fill="auto"/>
            <w:noWrap/>
            <w:vAlign w:val="center"/>
            <w:hideMark/>
          </w:tcPr>
          <w:p w14:paraId="07738060"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w:t>
            </w:r>
          </w:p>
        </w:tc>
      </w:tr>
      <w:tr w:rsidR="00795BC7" w:rsidRPr="00795BC7" w14:paraId="4C958D76" w14:textId="77777777" w:rsidTr="00795BC7">
        <w:trPr>
          <w:trHeight w:val="555"/>
        </w:trPr>
        <w:tc>
          <w:tcPr>
            <w:tcW w:w="1128" w:type="dxa"/>
            <w:shd w:val="clear" w:color="000000" w:fill="A6CAF0"/>
            <w:noWrap/>
            <w:vAlign w:val="center"/>
            <w:hideMark/>
          </w:tcPr>
          <w:p w14:paraId="1776371B"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 </w:t>
            </w:r>
          </w:p>
        </w:tc>
        <w:tc>
          <w:tcPr>
            <w:tcW w:w="1598" w:type="dxa"/>
            <w:shd w:val="clear" w:color="000000" w:fill="A6CAF0"/>
            <w:vAlign w:val="center"/>
            <w:hideMark/>
          </w:tcPr>
          <w:p w14:paraId="2D2CB6B0"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Total de operaciones corrientes:</w:t>
            </w:r>
          </w:p>
        </w:tc>
        <w:tc>
          <w:tcPr>
            <w:tcW w:w="1164" w:type="dxa"/>
            <w:shd w:val="clear" w:color="000000" w:fill="A6CAF0"/>
            <w:noWrap/>
            <w:vAlign w:val="center"/>
            <w:hideMark/>
          </w:tcPr>
          <w:p w14:paraId="27695A67"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19.819.026,64</w:t>
            </w:r>
          </w:p>
        </w:tc>
        <w:tc>
          <w:tcPr>
            <w:tcW w:w="1345" w:type="dxa"/>
            <w:shd w:val="clear" w:color="000000" w:fill="A6CAF0"/>
            <w:noWrap/>
            <w:vAlign w:val="center"/>
            <w:hideMark/>
          </w:tcPr>
          <w:p w14:paraId="0FBDDA71"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19.829.813,19</w:t>
            </w:r>
          </w:p>
        </w:tc>
        <w:tc>
          <w:tcPr>
            <w:tcW w:w="1134" w:type="dxa"/>
            <w:shd w:val="clear" w:color="000000" w:fill="A6CAF0"/>
            <w:noWrap/>
            <w:vAlign w:val="center"/>
            <w:hideMark/>
          </w:tcPr>
          <w:p w14:paraId="0171DD4C"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100,05%</w:t>
            </w:r>
          </w:p>
        </w:tc>
        <w:tc>
          <w:tcPr>
            <w:tcW w:w="1276" w:type="dxa"/>
            <w:shd w:val="clear" w:color="000000" w:fill="A6CAF0"/>
            <w:noWrap/>
            <w:vAlign w:val="center"/>
            <w:hideMark/>
          </w:tcPr>
          <w:p w14:paraId="08436196"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19.281.209,43</w:t>
            </w:r>
          </w:p>
        </w:tc>
        <w:tc>
          <w:tcPr>
            <w:tcW w:w="1276" w:type="dxa"/>
            <w:shd w:val="clear" w:color="000000" w:fill="A6CAF0"/>
            <w:noWrap/>
            <w:vAlign w:val="center"/>
            <w:hideMark/>
          </w:tcPr>
          <w:p w14:paraId="1C037B15"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97,23%</w:t>
            </w:r>
          </w:p>
        </w:tc>
      </w:tr>
      <w:tr w:rsidR="00795BC7" w:rsidRPr="00795BC7" w14:paraId="69B6F3DF" w14:textId="77777777" w:rsidTr="00795BC7">
        <w:trPr>
          <w:trHeight w:val="690"/>
        </w:trPr>
        <w:tc>
          <w:tcPr>
            <w:tcW w:w="1128" w:type="dxa"/>
            <w:shd w:val="clear" w:color="auto" w:fill="auto"/>
            <w:noWrap/>
            <w:vAlign w:val="center"/>
            <w:hideMark/>
          </w:tcPr>
          <w:p w14:paraId="2060CC3C"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t>7</w:t>
            </w:r>
          </w:p>
        </w:tc>
        <w:tc>
          <w:tcPr>
            <w:tcW w:w="1598" w:type="dxa"/>
            <w:shd w:val="clear" w:color="auto" w:fill="auto"/>
            <w:vAlign w:val="center"/>
            <w:hideMark/>
          </w:tcPr>
          <w:p w14:paraId="3C87EC38"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TRANSFERENCIAS DE CAPITAL</w:t>
            </w:r>
          </w:p>
        </w:tc>
        <w:tc>
          <w:tcPr>
            <w:tcW w:w="1164" w:type="dxa"/>
            <w:shd w:val="clear" w:color="auto" w:fill="auto"/>
            <w:noWrap/>
            <w:vAlign w:val="center"/>
            <w:hideMark/>
          </w:tcPr>
          <w:p w14:paraId="457DF2B1"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378.990,00</w:t>
            </w:r>
          </w:p>
        </w:tc>
        <w:tc>
          <w:tcPr>
            <w:tcW w:w="1345" w:type="dxa"/>
            <w:shd w:val="clear" w:color="auto" w:fill="auto"/>
            <w:noWrap/>
            <w:vAlign w:val="center"/>
            <w:hideMark/>
          </w:tcPr>
          <w:p w14:paraId="0BD43BAF"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-435.449,96</w:t>
            </w:r>
          </w:p>
        </w:tc>
        <w:tc>
          <w:tcPr>
            <w:tcW w:w="1134" w:type="dxa"/>
            <w:shd w:val="clear" w:color="auto" w:fill="auto"/>
            <w:noWrap/>
            <w:vAlign w:val="center"/>
            <w:hideMark/>
          </w:tcPr>
          <w:p w14:paraId="680251B5"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-114,90%</w:t>
            </w:r>
          </w:p>
        </w:tc>
        <w:tc>
          <w:tcPr>
            <w:tcW w:w="1276" w:type="dxa"/>
            <w:shd w:val="clear" w:color="auto" w:fill="auto"/>
            <w:noWrap/>
            <w:vAlign w:val="center"/>
            <w:hideMark/>
          </w:tcPr>
          <w:p w14:paraId="3C05823E"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-435.449,96</w:t>
            </w:r>
          </w:p>
        </w:tc>
        <w:tc>
          <w:tcPr>
            <w:tcW w:w="1276" w:type="dxa"/>
            <w:shd w:val="clear" w:color="auto" w:fill="auto"/>
            <w:noWrap/>
            <w:vAlign w:val="center"/>
            <w:hideMark/>
          </w:tcPr>
          <w:p w14:paraId="3A62572C"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100,00%</w:t>
            </w:r>
          </w:p>
        </w:tc>
      </w:tr>
      <w:tr w:rsidR="00795BC7" w:rsidRPr="00795BC7" w14:paraId="2E7FF286" w14:textId="77777777" w:rsidTr="00795BC7">
        <w:trPr>
          <w:trHeight w:val="465"/>
        </w:trPr>
        <w:tc>
          <w:tcPr>
            <w:tcW w:w="1128" w:type="dxa"/>
            <w:shd w:val="clear" w:color="auto" w:fill="auto"/>
            <w:noWrap/>
            <w:vAlign w:val="center"/>
            <w:hideMark/>
          </w:tcPr>
          <w:p w14:paraId="2AB69764" w14:textId="77777777" w:rsidR="00795BC7" w:rsidRPr="00795BC7" w:rsidRDefault="00795BC7" w:rsidP="00795BC7">
            <w:pPr>
              <w:jc w:val="center"/>
              <w:rPr>
                <w:rFonts w:eastAsia="Times New Roman" w:cs="Arial"/>
                <w:b/>
                <w:bCs/>
                <w:color w:val="000000"/>
                <w:sz w:val="16"/>
                <w:szCs w:val="16"/>
                <w:lang w:eastAsia="es-ES"/>
              </w:rPr>
            </w:pPr>
            <w:r w:rsidRPr="00795BC7">
              <w:rPr>
                <w:rFonts w:eastAsia="Times New Roman" w:cs="Arial"/>
                <w:b/>
                <w:bCs/>
                <w:color w:val="000000"/>
                <w:sz w:val="16"/>
                <w:szCs w:val="16"/>
                <w:lang w:eastAsia="es-ES"/>
              </w:rPr>
              <w:lastRenderedPageBreak/>
              <w:t>8</w:t>
            </w:r>
          </w:p>
        </w:tc>
        <w:tc>
          <w:tcPr>
            <w:tcW w:w="1598" w:type="dxa"/>
            <w:shd w:val="clear" w:color="auto" w:fill="auto"/>
            <w:vAlign w:val="center"/>
            <w:hideMark/>
          </w:tcPr>
          <w:p w14:paraId="39DAA7F4"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ACTIVOS FINANCIEROS</w:t>
            </w:r>
          </w:p>
        </w:tc>
        <w:tc>
          <w:tcPr>
            <w:tcW w:w="1164" w:type="dxa"/>
            <w:shd w:val="clear" w:color="auto" w:fill="auto"/>
            <w:noWrap/>
            <w:vAlign w:val="center"/>
            <w:hideMark/>
          </w:tcPr>
          <w:p w14:paraId="146A0034"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5.823.653,84</w:t>
            </w:r>
          </w:p>
        </w:tc>
        <w:tc>
          <w:tcPr>
            <w:tcW w:w="1345" w:type="dxa"/>
            <w:shd w:val="clear" w:color="auto" w:fill="auto"/>
            <w:noWrap/>
            <w:vAlign w:val="center"/>
            <w:hideMark/>
          </w:tcPr>
          <w:p w14:paraId="41968616"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108.000,00</w:t>
            </w:r>
          </w:p>
        </w:tc>
        <w:tc>
          <w:tcPr>
            <w:tcW w:w="1134" w:type="dxa"/>
            <w:shd w:val="clear" w:color="auto" w:fill="auto"/>
            <w:noWrap/>
            <w:vAlign w:val="center"/>
            <w:hideMark/>
          </w:tcPr>
          <w:p w14:paraId="46A2C080"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1,85%</w:t>
            </w:r>
          </w:p>
        </w:tc>
        <w:tc>
          <w:tcPr>
            <w:tcW w:w="1276" w:type="dxa"/>
            <w:shd w:val="clear" w:color="auto" w:fill="auto"/>
            <w:noWrap/>
            <w:vAlign w:val="center"/>
            <w:hideMark/>
          </w:tcPr>
          <w:p w14:paraId="6CBFC56A"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27.500,03</w:t>
            </w:r>
          </w:p>
        </w:tc>
        <w:tc>
          <w:tcPr>
            <w:tcW w:w="1276" w:type="dxa"/>
            <w:shd w:val="clear" w:color="auto" w:fill="auto"/>
            <w:noWrap/>
            <w:vAlign w:val="center"/>
            <w:hideMark/>
          </w:tcPr>
          <w:p w14:paraId="14056853"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25,46%</w:t>
            </w:r>
          </w:p>
        </w:tc>
      </w:tr>
      <w:tr w:rsidR="00795BC7" w:rsidRPr="00795BC7" w14:paraId="0F0FA4FD" w14:textId="77777777" w:rsidTr="00795BC7">
        <w:trPr>
          <w:trHeight w:val="555"/>
        </w:trPr>
        <w:tc>
          <w:tcPr>
            <w:tcW w:w="1128" w:type="dxa"/>
            <w:shd w:val="clear" w:color="000000" w:fill="A6CAF0"/>
            <w:noWrap/>
            <w:vAlign w:val="center"/>
            <w:hideMark/>
          </w:tcPr>
          <w:p w14:paraId="7D87C542"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 </w:t>
            </w:r>
          </w:p>
        </w:tc>
        <w:tc>
          <w:tcPr>
            <w:tcW w:w="1598" w:type="dxa"/>
            <w:shd w:val="clear" w:color="000000" w:fill="A6CAF0"/>
            <w:vAlign w:val="center"/>
            <w:hideMark/>
          </w:tcPr>
          <w:p w14:paraId="5CA77939"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Total de operaciones de capital:</w:t>
            </w:r>
          </w:p>
        </w:tc>
        <w:tc>
          <w:tcPr>
            <w:tcW w:w="1164" w:type="dxa"/>
            <w:shd w:val="clear" w:color="000000" w:fill="A6CAF0"/>
            <w:noWrap/>
            <w:vAlign w:val="center"/>
            <w:hideMark/>
          </w:tcPr>
          <w:p w14:paraId="1FE2707A"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6.202.643,84</w:t>
            </w:r>
          </w:p>
        </w:tc>
        <w:tc>
          <w:tcPr>
            <w:tcW w:w="1345" w:type="dxa"/>
            <w:shd w:val="clear" w:color="000000" w:fill="A6CAF0"/>
            <w:noWrap/>
            <w:vAlign w:val="center"/>
            <w:hideMark/>
          </w:tcPr>
          <w:p w14:paraId="4D01B9F5"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-327.449,96</w:t>
            </w:r>
          </w:p>
        </w:tc>
        <w:tc>
          <w:tcPr>
            <w:tcW w:w="1134" w:type="dxa"/>
            <w:shd w:val="clear" w:color="000000" w:fill="A6CAF0"/>
            <w:noWrap/>
            <w:vAlign w:val="center"/>
            <w:hideMark/>
          </w:tcPr>
          <w:p w14:paraId="5647CA56"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-5,28%</w:t>
            </w:r>
          </w:p>
        </w:tc>
        <w:tc>
          <w:tcPr>
            <w:tcW w:w="1276" w:type="dxa"/>
            <w:shd w:val="clear" w:color="000000" w:fill="A6CAF0"/>
            <w:noWrap/>
            <w:vAlign w:val="center"/>
            <w:hideMark/>
          </w:tcPr>
          <w:p w14:paraId="1B2A3962"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-407.949,93</w:t>
            </w:r>
          </w:p>
        </w:tc>
        <w:tc>
          <w:tcPr>
            <w:tcW w:w="1276" w:type="dxa"/>
            <w:shd w:val="clear" w:color="000000" w:fill="A6CAF0"/>
            <w:noWrap/>
            <w:vAlign w:val="center"/>
            <w:hideMark/>
          </w:tcPr>
          <w:p w14:paraId="3DE82CE8"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124,58%</w:t>
            </w:r>
          </w:p>
        </w:tc>
      </w:tr>
      <w:tr w:rsidR="00795BC7" w:rsidRPr="00795BC7" w14:paraId="334A029B" w14:textId="77777777" w:rsidTr="00795BC7">
        <w:trPr>
          <w:trHeight w:val="315"/>
        </w:trPr>
        <w:tc>
          <w:tcPr>
            <w:tcW w:w="1128" w:type="dxa"/>
            <w:shd w:val="clear" w:color="000000" w:fill="FF8080"/>
            <w:noWrap/>
            <w:vAlign w:val="center"/>
            <w:hideMark/>
          </w:tcPr>
          <w:p w14:paraId="6639362E"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 </w:t>
            </w:r>
          </w:p>
        </w:tc>
        <w:tc>
          <w:tcPr>
            <w:tcW w:w="1598" w:type="dxa"/>
            <w:shd w:val="clear" w:color="000000" w:fill="FF8080"/>
            <w:vAlign w:val="center"/>
            <w:hideMark/>
          </w:tcPr>
          <w:p w14:paraId="3BE06C5C" w14:textId="77777777" w:rsidR="00795BC7" w:rsidRPr="00795BC7" w:rsidRDefault="00795BC7" w:rsidP="00795BC7">
            <w:pPr>
              <w:jc w:val="left"/>
              <w:rPr>
                <w:rFonts w:eastAsia="Times New Roman" w:cs="Arial"/>
                <w:color w:val="000000"/>
                <w:sz w:val="16"/>
                <w:szCs w:val="16"/>
                <w:lang w:eastAsia="es-ES"/>
              </w:rPr>
            </w:pPr>
            <w:r w:rsidRPr="00795BC7">
              <w:rPr>
                <w:rFonts w:eastAsia="Times New Roman" w:cs="Arial"/>
                <w:color w:val="000000"/>
                <w:sz w:val="16"/>
                <w:szCs w:val="16"/>
                <w:lang w:eastAsia="es-ES"/>
              </w:rPr>
              <w:t>TOTAL</w:t>
            </w:r>
          </w:p>
        </w:tc>
        <w:tc>
          <w:tcPr>
            <w:tcW w:w="1164" w:type="dxa"/>
            <w:shd w:val="clear" w:color="000000" w:fill="FF8080"/>
            <w:noWrap/>
            <w:vAlign w:val="center"/>
            <w:hideMark/>
          </w:tcPr>
          <w:p w14:paraId="2BA9E39C"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26.021.670,48</w:t>
            </w:r>
          </w:p>
        </w:tc>
        <w:tc>
          <w:tcPr>
            <w:tcW w:w="1345" w:type="dxa"/>
            <w:shd w:val="clear" w:color="000000" w:fill="FF8080"/>
            <w:noWrap/>
            <w:vAlign w:val="center"/>
            <w:hideMark/>
          </w:tcPr>
          <w:p w14:paraId="2F8D9783"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19.502.363,23</w:t>
            </w:r>
          </w:p>
        </w:tc>
        <w:tc>
          <w:tcPr>
            <w:tcW w:w="1134" w:type="dxa"/>
            <w:shd w:val="clear" w:color="000000" w:fill="FF8080"/>
            <w:noWrap/>
            <w:vAlign w:val="center"/>
            <w:hideMark/>
          </w:tcPr>
          <w:p w14:paraId="65FA4D23"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74,95%</w:t>
            </w:r>
          </w:p>
        </w:tc>
        <w:tc>
          <w:tcPr>
            <w:tcW w:w="1276" w:type="dxa"/>
            <w:shd w:val="clear" w:color="000000" w:fill="FF8080"/>
            <w:noWrap/>
            <w:vAlign w:val="center"/>
            <w:hideMark/>
          </w:tcPr>
          <w:p w14:paraId="4E6E1BAB"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18.873.259,50</w:t>
            </w:r>
          </w:p>
        </w:tc>
        <w:tc>
          <w:tcPr>
            <w:tcW w:w="1276" w:type="dxa"/>
            <w:shd w:val="clear" w:color="000000" w:fill="FF8080"/>
            <w:noWrap/>
            <w:vAlign w:val="center"/>
            <w:hideMark/>
          </w:tcPr>
          <w:p w14:paraId="712854CC" w14:textId="77777777" w:rsidR="00795BC7" w:rsidRPr="00795BC7" w:rsidRDefault="00795BC7" w:rsidP="00795BC7">
            <w:pPr>
              <w:jc w:val="right"/>
              <w:rPr>
                <w:rFonts w:eastAsia="Times New Roman" w:cs="Arial"/>
                <w:color w:val="000000"/>
                <w:sz w:val="16"/>
                <w:szCs w:val="16"/>
                <w:lang w:eastAsia="es-ES"/>
              </w:rPr>
            </w:pPr>
            <w:r w:rsidRPr="00795BC7">
              <w:rPr>
                <w:rFonts w:eastAsia="Times New Roman" w:cs="Arial"/>
                <w:color w:val="000000"/>
                <w:sz w:val="16"/>
                <w:szCs w:val="16"/>
                <w:lang w:eastAsia="es-ES"/>
              </w:rPr>
              <w:t>96,77%</w:t>
            </w:r>
          </w:p>
        </w:tc>
      </w:tr>
    </w:tbl>
    <w:p w14:paraId="1BBDDA50" w14:textId="77777777" w:rsidR="00C76CC6" w:rsidRDefault="00C76CC6" w:rsidP="006C48D7">
      <w:pPr>
        <w:ind w:firstLine="708"/>
      </w:pPr>
    </w:p>
    <w:sectPr w:rsidR="00C76CC6" w:rsidSect="006C48D7">
      <w:headerReference w:type="default" r:id="rId7"/>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36C4" w14:textId="77777777" w:rsidR="001647F4" w:rsidRDefault="001647F4" w:rsidP="00041E20">
      <w:r>
        <w:separator/>
      </w:r>
    </w:p>
  </w:endnote>
  <w:endnote w:type="continuationSeparator" w:id="0">
    <w:p w14:paraId="203E6A65" w14:textId="77777777" w:rsidR="001647F4" w:rsidRDefault="001647F4" w:rsidP="000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02E8" w14:textId="77777777" w:rsidR="001647F4" w:rsidRDefault="001647F4" w:rsidP="00041E20">
      <w:r>
        <w:separator/>
      </w:r>
    </w:p>
  </w:footnote>
  <w:footnote w:type="continuationSeparator" w:id="0">
    <w:p w14:paraId="615AFDFD" w14:textId="77777777" w:rsidR="001647F4" w:rsidRDefault="001647F4" w:rsidP="000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6FA" w14:textId="77777777" w:rsidR="00041E20" w:rsidRDefault="00824FBD" w:rsidP="00824FBD">
    <w:pPr>
      <w:pStyle w:val="Encabezado"/>
      <w:jc w:val="center"/>
    </w:pPr>
    <w:r>
      <w:rPr>
        <w:noProof/>
        <w:lang w:eastAsia="es-ES"/>
      </w:rPr>
      <w:drawing>
        <wp:inline distT="0" distB="0" distL="0" distR="0" wp14:anchorId="34B799AB" wp14:editId="028EFCC2">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15:restartNumberingAfterBreak="0">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15:restartNumberingAfterBreak="0">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37721691">
    <w:abstractNumId w:val="3"/>
  </w:num>
  <w:num w:numId="2" w16cid:durableId="586496629">
    <w:abstractNumId w:val="2"/>
  </w:num>
  <w:num w:numId="3" w16cid:durableId="1487623118">
    <w:abstractNumId w:val="1"/>
  </w:num>
  <w:num w:numId="4" w16cid:durableId="984509478">
    <w:abstractNumId w:val="4"/>
  </w:num>
  <w:num w:numId="5" w16cid:durableId="354885071">
    <w:abstractNumId w:val="0"/>
  </w:num>
  <w:num w:numId="6" w16cid:durableId="1683315574">
    <w:abstractNumId w:val="5"/>
  </w:num>
  <w:num w:numId="7" w16cid:durableId="1732118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373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27229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99"/>
    <w:rsid w:val="000341AC"/>
    <w:rsid w:val="00041E20"/>
    <w:rsid w:val="001647F4"/>
    <w:rsid w:val="00167257"/>
    <w:rsid w:val="00252018"/>
    <w:rsid w:val="003C00CA"/>
    <w:rsid w:val="004709A5"/>
    <w:rsid w:val="004D04AB"/>
    <w:rsid w:val="0064365B"/>
    <w:rsid w:val="0067123D"/>
    <w:rsid w:val="00672276"/>
    <w:rsid w:val="006C48D7"/>
    <w:rsid w:val="00780E53"/>
    <w:rsid w:val="00795BC7"/>
    <w:rsid w:val="007C048C"/>
    <w:rsid w:val="00824FBD"/>
    <w:rsid w:val="008843DE"/>
    <w:rsid w:val="008C076B"/>
    <w:rsid w:val="00987B3A"/>
    <w:rsid w:val="00A146A1"/>
    <w:rsid w:val="00A80D36"/>
    <w:rsid w:val="00AC62A1"/>
    <w:rsid w:val="00B51690"/>
    <w:rsid w:val="00C57D15"/>
    <w:rsid w:val="00C72CD2"/>
    <w:rsid w:val="00C76CC6"/>
    <w:rsid w:val="00C84B44"/>
    <w:rsid w:val="00D70AC0"/>
    <w:rsid w:val="00D74678"/>
    <w:rsid w:val="00DA0428"/>
    <w:rsid w:val="00E86499"/>
    <w:rsid w:val="00E87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0E66698"/>
  <w15:docId w15:val="{627188FC-BC1E-4268-9F0B-40EB8303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478812784">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1025325203">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copia.dotx</Template>
  <TotalTime>12</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2</cp:revision>
  <dcterms:created xsi:type="dcterms:W3CDTF">2022-06-14T10:16:00Z</dcterms:created>
  <dcterms:modified xsi:type="dcterms:W3CDTF">2022-06-14T10:16:00Z</dcterms:modified>
</cp:coreProperties>
</file>